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120" w:before="0"/>
        <w:jc w:val="center"/>
      </w:pPr>
      <w:r>
        <w:rPr>
          <w:rFonts w:ascii="Times New Roman" w:hAnsi="Times New Roman" w:cs="Times New Roman" w:eastAsia="Times New Roman"/>
          <w:b w:val="true"/>
          <w:i w:val="false"/>
          <w:strike w:val="false"/>
          <w:sz w:val="24"/>
        </w:rPr>
        <w:t>ЛИСТ СОГЛАСОВАНИЯ ЗАКУПКИ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103"/>
          <w:left w:type="dxa" w:w="103"/>
          <w:bottom w:type="dxa" w:w="103"/>
          <w:right w:type="dxa" w:w="103"/>
        </w:tblCellMar>
      </w:tblPr>
      <w:tblPr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cantSplit w:val="true"/>
        </w:trPr>
        <w:tc>
          <w:tcPr>
            <w:tcW w:type="pct" w:w="8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Наименование объекта закупки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Поставка шин автомобильных зимних</w:t>
            </w:r>
          </w:p>
        </w:tc>
      </w:tr>
      <w:tr>
        <w:trPr>
          <w:cantSplit w:val="true"/>
        </w:trPr>
        <w:tc>
          <w:tcPr>
            <w:tcW w:type="pct" w:w="8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Начальная (максимальная) цена контракта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149 456,70 руб.</w:t>
            </w:r>
          </w:p>
        </w:tc>
      </w:tr>
      <w:tr>
        <w:trPr>
          <w:cantSplit w:val="true"/>
        </w:trPr>
        <w:tc>
          <w:tcPr>
            <w:tcW w:type="pct" w:w="8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Способ определения поставщика (подрядчика, исполнителя)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Открытый аукцион в электронной форме</w:t>
            </w:r>
          </w:p>
        </w:tc>
      </w:tr>
      <w:tr>
        <w:trPr>
          <w:cantSplit w:val="true"/>
        </w:trPr>
        <w:tc>
          <w:tcPr>
            <w:tcW w:type="pct" w:w="8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Реестровый номер закупки в РИС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4628587</w:t>
            </w:r>
          </w:p>
        </w:tc>
      </w:tr>
      <w:tr>
        <w:trPr>
          <w:cantSplit w:val="true"/>
        </w:trPr>
        <w:tc>
          <w:tcPr>
            <w:tcW w:type="pct" w:w="8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Заказчик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Государственное бюджетное учреждение здравоохранения Пермского края "Городская больница г. Соликамск"</w:t>
            </w:r>
          </w:p>
        </w:tc>
      </w:tr>
      <w:tr>
        <w:trPr>
          <w:cantSplit w:val="true"/>
        </w:trPr>
        <w:tc>
          <w:tcPr>
            <w:tcW w:type="pct" w:w="8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Публично-правовое образование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—</w:t>
            </w:r>
          </w:p>
        </w:tc>
      </w:tr>
    </w:tbl>
    <w:p>
      <w:pPr>
        <w:spacing w:after="0" w:before="0"/>
      </w:pPr>
    </w:p>
    <w:p>
      <w:pPr>
        <w:spacing w:after="0" w:before="0"/>
        <w:jc w:val="left"/>
      </w:pPr>
      <w:r>
        <w:rPr>
          <w:rFonts w:ascii="Times New Roman" w:hAnsi="Times New Roman" w:cs="Times New Roman" w:eastAsia="Times New Roman"/>
          <w:b w:val="true"/>
          <w:i w:val="false"/>
          <w:strike w:val="false"/>
          <w:sz w:val="24"/>
        </w:rPr>
        <w:t>СОГЛАСОВАНО:</w:t>
      </w:r>
    </w:p>
    <w:p>
      <w:pPr>
        <w:spacing w:after="0" w:before="0"/>
      </w:pP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103"/>
          <w:left w:type="dxa" w:w="103"/>
          <w:bottom w:type="dxa" w:w="103"/>
          <w:right w:type="dxa" w:w="103"/>
        </w:tblCellMar>
      </w:tblPr>
      <w:tblPr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cantSplit w:val="true"/>
        </w:trPr>
        <w:tc>
          <w:tcPr>
            <w:tcW w:type="pct" w:w="30"/>
            <w:vAlign w:val="center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b w:val="true"/>
                <w:i w:val="false"/>
                <w:strike w:val="false"/>
                <w:sz w:val="24"/>
              </w:rPr>
              <w:t>Дата согласования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/>
            </w:r>
          </w:p>
        </w:tc>
      </w:tr>
      <w:tr>
        <w:trPr>
          <w:cantSplit w:val="true"/>
        </w:trPr>
        <w:tc>
          <w:tcPr>
            <w:tcW w:type="pct" w:w="30"/>
            <w:vAlign w:val="center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b w:val="true"/>
                <w:i w:val="false"/>
                <w:strike w:val="false"/>
                <w:sz w:val="24"/>
              </w:rPr>
              <w:t>ФИО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Абрамишвили Арсен Владимирович</w:t>
            </w:r>
          </w:p>
        </w:tc>
      </w:tr>
      <w:tr>
        <w:trPr>
          <w:cantSplit w:val="true"/>
        </w:trPr>
        <w:tc>
          <w:tcPr>
            <w:tcW w:type="pct" w:w="30"/>
            <w:vAlign w:val="center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b w:val="true"/>
                <w:i w:val="false"/>
                <w:strike w:val="false"/>
                <w:sz w:val="24"/>
              </w:rPr>
              <w:t>Должность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Главный врач</w:t>
            </w:r>
          </w:p>
        </w:tc>
      </w:tr>
      <w:tr>
        <w:trPr>
          <w:cantSplit w:val="true"/>
        </w:trPr>
        <w:tc>
          <w:tcPr>
            <w:tcW w:type="pct" w:w="30"/>
            <w:vAlign w:val="center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b w:val="true"/>
                <w:i w:val="false"/>
                <w:strike w:val="false"/>
                <w:sz w:val="24"/>
              </w:rPr>
              <w:t>Организация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>Государственное бюджетное учреждение здравоохранения Пермского края "Городская больница г. Соликамск"</w:t>
            </w:r>
          </w:p>
        </w:tc>
      </w:tr>
      <w:tr>
        <w:trPr>
          <w:cantSplit w:val="true"/>
        </w:trPr>
        <w:tc>
          <w:tcPr>
            <w:tcW w:type="pct" w:w="30"/>
            <w:vAlign w:val="center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b w:val="true"/>
                <w:i w:val="false"/>
                <w:strike w:val="false"/>
                <w:sz w:val="24"/>
              </w:rPr>
              <w:t>Подпись</w:t>
            </w:r>
          </w:p>
        </w:tc>
        <w:tc>
          <w:tcPr>
            <w:tcW w:type="pct" w:w="100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b w:val="false"/>
                <w:i w:val="false"/>
                <w:strike w:val="false"/>
                <w:sz w:val="24"/>
              </w:rPr>
              <w:t/>
            </w:r>
          </w:p>
        </w:tc>
      </w:tr>
    </w:tbl>
    <w:sectPr>
      <w:pgSz w:orient="portrait" w:h="16840" w:w="11900"/>
      <w:pgMar w:left="1703" w:right="852" w:top="852" w:bottom="852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2024-08-08T04:09:18Z</dcterms:created>
  <dc:creator>Apache POI</dc:creator>
</cp:coreProperties>
</file>